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png" ContentType="image/png"/>
  <Override PartName="/word/media/image2.png" ContentType="image/pn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numPr>
          <w:ilvl w:val="0"/>
          <w:numId w:val="1"/>
        </w:numPr>
        <w:jc w:val="center"/>
        <w:rPr>
          <w:b/>
          <w:sz w:val="28"/>
          <w:szCs w:val="28"/>
        </w:rPr>
      </w:pPr>
      <w:r>
        <w:rPr>
          <w:b/>
          <w:sz w:val="28"/>
          <w:szCs w:val="28"/>
        </w:rPr>
        <w:t>The Parish of St Cuthbert’s Rye Park</w:t>
      </w:r>
    </w:p>
    <w:p>
      <w:pPr>
        <w:pStyle w:val="Header"/>
        <w:numPr>
          <w:ilvl w:val="0"/>
          <w:numId w:val="1"/>
        </w:numPr>
        <w:jc w:val="center"/>
        <w:rPr>
          <w:b/>
          <w:sz w:val="28"/>
          <w:szCs w:val="28"/>
        </w:rPr>
      </w:pPr>
      <w:r>
        <w:rPr>
          <w:b/>
          <w:sz w:val="28"/>
          <w:szCs w:val="28"/>
        </w:rPr>
        <w:t>SAFEGUARDING POLICY</w:t>
      </w:r>
    </w:p>
    <w:p>
      <w:pPr>
        <w:pStyle w:val="Header"/>
        <w:numPr>
          <w:ilvl w:val="0"/>
          <w:numId w:val="1"/>
        </w:numPr>
        <w:spacing w:lineRule="auto" w:line="259" w:before="0" w:after="160"/>
        <w:jc w:val="center"/>
        <w:rPr>
          <w:b/>
          <w:sz w:val="28"/>
          <w:szCs w:val="28"/>
        </w:rPr>
      </w:pPr>
      <w:r>
        <w:rPr>
          <w:rFonts w:eastAsia="Calibri" w:cs="Arial" w:cstheme="minorHAnsi"/>
          <w:b/>
          <w:sz w:val="28"/>
          <w:szCs w:val="28"/>
          <w:lang w:eastAsia="en-US"/>
        </w:rPr>
        <w:t>PROMOTING A SAFER CHURCH</w:t>
      </w:r>
    </w:p>
    <w:p>
      <w:pPr>
        <w:pStyle w:val="Normal"/>
        <w:numPr>
          <w:ilvl w:val="0"/>
          <w:numId w:val="1"/>
        </w:numPr>
        <w:spacing w:lineRule="auto" w:line="240" w:before="0" w:after="113"/>
        <w:rPr>
          <w:sz w:val="22"/>
          <w:szCs w:val="22"/>
        </w:rPr>
      </w:pPr>
      <w:bookmarkStart w:id="0" w:name="_GoBack"/>
      <w:bookmarkEnd w:id="0"/>
      <w:r>
        <w:rPr>
          <w:rFonts w:eastAsia="Calibri" w:cs="Arial" w:cstheme="minorHAnsi"/>
          <w:sz w:val="22"/>
          <w:szCs w:val="22"/>
          <w:lang w:eastAsia="en-US"/>
        </w:rPr>
        <w:t xml:space="preserve">The following policy was </w:t>
      </w:r>
      <w:r>
        <w:rPr>
          <w:rFonts w:eastAsia="Calibri" w:cs="Arial" w:cstheme="minorHAnsi"/>
          <w:sz w:val="22"/>
          <w:szCs w:val="22"/>
          <w:lang w:eastAsia="en-US"/>
        </w:rPr>
        <w:t>reviewed</w:t>
      </w:r>
      <w:r>
        <w:rPr>
          <w:rFonts w:eastAsia="Calibri" w:cs="Arial" w:cstheme="minorHAnsi"/>
          <w:sz w:val="22"/>
          <w:szCs w:val="22"/>
          <w:lang w:eastAsia="en-US"/>
        </w:rPr>
        <w:t xml:space="preserve"> at the PCC meeting held on 16 May 202</w:t>
      </w:r>
      <w:r>
        <w:rPr>
          <w:rFonts w:eastAsia="Calibri" w:cs="Arial" w:cstheme="minorHAnsi"/>
          <w:sz w:val="22"/>
          <w:szCs w:val="22"/>
          <w:lang w:eastAsia="en-US"/>
        </w:rPr>
        <w:t>6</w:t>
      </w:r>
    </w:p>
    <w:p>
      <w:pPr>
        <w:pStyle w:val="Normal"/>
        <w:numPr>
          <w:ilvl w:val="0"/>
          <w:numId w:val="1"/>
        </w:numPr>
        <w:spacing w:lineRule="auto" w:line="240" w:before="0" w:after="160"/>
        <w:rPr>
          <w:i/>
          <w:i/>
          <w:iCs/>
        </w:rPr>
      </w:pPr>
      <w:r>
        <w:rPr>
          <w:rFonts w:eastAsia="Calibri" w:cs="Arial" w:cstheme="minorHAnsi"/>
          <w:i/>
          <w:iCs/>
          <w:sz w:val="22"/>
          <w:szCs w:val="22"/>
          <w:lang w:eastAsia="en-US"/>
        </w:rPr>
        <w:t>The definition of “vulnerable adult” as used below is a person aged 18 or over whose ability to protect themselves from violence, abuse, neglect or exploitation is significantly impaired through physical or mental disability or illness, old age, emotional fragility or distress, or otherwise. People may become vulnerable temporarily, or be vulnerable in particular circumstances.</w:t>
      </w:r>
    </w:p>
    <w:p>
      <w:pPr>
        <w:pStyle w:val="Normal"/>
        <w:numPr>
          <w:ilvl w:val="0"/>
          <w:numId w:val="1"/>
        </w:numPr>
        <w:spacing w:lineRule="auto" w:line="240" w:before="0" w:after="160"/>
        <w:rPr>
          <w:i/>
          <w:i/>
          <w:iCs/>
        </w:rPr>
      </w:pPr>
      <w:r>
        <w:rPr>
          <w:rFonts w:eastAsia="Calibri" w:cs="Arial" w:cstheme="minorHAnsi"/>
          <w:i/>
          <w:iCs/>
          <w:sz w:val="22"/>
          <w:szCs w:val="22"/>
          <w:lang w:eastAsia="en-US"/>
        </w:rPr>
        <w:t>Under 18’s are automatically assumed to be vulnerable, so when the phrase “vulnerable people” is used below, it should be understood to include under 18’s and vulnerable adults.</w:t>
      </w:r>
    </w:p>
    <w:p>
      <w:pPr>
        <w:pStyle w:val="Normal"/>
        <w:numPr>
          <w:ilvl w:val="0"/>
          <w:numId w:val="1"/>
        </w:numPr>
        <w:spacing w:lineRule="auto" w:line="240" w:before="0" w:after="113"/>
        <w:jc w:val="both"/>
        <w:rPr>
          <w:sz w:val="22"/>
          <w:szCs w:val="22"/>
        </w:rPr>
      </w:pPr>
      <w:r>
        <w:rPr>
          <w:rFonts w:eastAsia="Times New Roman" w:cs="Arial" w:cstheme="minorHAnsi"/>
          <w:sz w:val="22"/>
          <w:szCs w:val="22"/>
        </w:rPr>
        <w:t xml:space="preserve">In accordance with the Church of England Safeguarding Policy our church is committed to: </w:t>
      </w:r>
    </w:p>
    <w:p>
      <w:pPr>
        <w:pStyle w:val="Normal"/>
        <w:widowControl/>
        <w:numPr>
          <w:ilvl w:val="0"/>
          <w:numId w:val="2"/>
        </w:numPr>
        <w:suppressAutoHyphens w:val="true"/>
        <w:bidi w:val="0"/>
        <w:spacing w:lineRule="auto" w:line="240" w:before="0" w:after="0"/>
        <w:ind w:hanging="363" w:left="720" w:right="0"/>
        <w:jc w:val="both"/>
        <w:rPr>
          <w:sz w:val="22"/>
          <w:szCs w:val="22"/>
        </w:rPr>
      </w:pPr>
      <w:r>
        <w:rPr>
          <w:rFonts w:eastAsia="Times New Roman" w:cs="Arial" w:cstheme="minorHAnsi"/>
          <w:sz w:val="22"/>
          <w:szCs w:val="22"/>
        </w:rPr>
        <w:t>Promoting a safer environment and culture.</w:t>
      </w:r>
    </w:p>
    <w:p>
      <w:pPr>
        <w:pStyle w:val="Normal"/>
        <w:widowControl/>
        <w:numPr>
          <w:ilvl w:val="0"/>
          <w:numId w:val="2"/>
        </w:numPr>
        <w:suppressAutoHyphens w:val="true"/>
        <w:bidi w:val="0"/>
        <w:spacing w:lineRule="auto" w:line="240" w:before="0" w:after="0"/>
        <w:ind w:hanging="363" w:left="720" w:right="0"/>
        <w:jc w:val="both"/>
        <w:rPr>
          <w:sz w:val="22"/>
          <w:szCs w:val="22"/>
        </w:rPr>
      </w:pPr>
      <w:r>
        <w:rPr>
          <w:rFonts w:eastAsia="Times New Roman" w:cs="Arial" w:cstheme="minorHAnsi"/>
          <w:sz w:val="22"/>
          <w:szCs w:val="22"/>
        </w:rPr>
        <w:t>Safely recruiting and supporting all those with any responsibility related to vulnerable people within the church.</w:t>
      </w:r>
    </w:p>
    <w:p>
      <w:pPr>
        <w:pStyle w:val="Normal"/>
        <w:widowControl/>
        <w:numPr>
          <w:ilvl w:val="0"/>
          <w:numId w:val="2"/>
        </w:numPr>
        <w:suppressAutoHyphens w:val="true"/>
        <w:bidi w:val="0"/>
        <w:spacing w:lineRule="auto" w:line="240" w:before="0" w:after="0"/>
        <w:ind w:hanging="363" w:left="720" w:right="0"/>
        <w:jc w:val="both"/>
        <w:rPr>
          <w:sz w:val="22"/>
          <w:szCs w:val="22"/>
        </w:rPr>
      </w:pPr>
      <w:r>
        <w:rPr>
          <w:rFonts w:eastAsia="Times New Roman" w:cs="Arial" w:cstheme="minorHAnsi"/>
          <w:sz w:val="22"/>
          <w:szCs w:val="22"/>
        </w:rPr>
        <w:t>Responding promptly to every safeguarding concern or allegation.</w:t>
      </w:r>
    </w:p>
    <w:p>
      <w:pPr>
        <w:pStyle w:val="Normal"/>
        <w:widowControl/>
        <w:numPr>
          <w:ilvl w:val="0"/>
          <w:numId w:val="2"/>
        </w:numPr>
        <w:suppressAutoHyphens w:val="true"/>
        <w:bidi w:val="0"/>
        <w:spacing w:lineRule="auto" w:line="240" w:before="0" w:after="0"/>
        <w:ind w:hanging="363" w:left="720" w:right="0"/>
        <w:jc w:val="both"/>
        <w:rPr>
          <w:sz w:val="22"/>
          <w:szCs w:val="22"/>
        </w:rPr>
      </w:pPr>
      <w:r>
        <w:rPr>
          <w:rFonts w:eastAsia="Times New Roman" w:cs="Arial" w:cstheme="minorHAnsi"/>
          <w:sz w:val="22"/>
          <w:szCs w:val="22"/>
        </w:rPr>
        <w:t>Caring pastorally for victims/survivors of abuse and other persons.</w:t>
      </w:r>
    </w:p>
    <w:p>
      <w:pPr>
        <w:pStyle w:val="Normal"/>
        <w:widowControl/>
        <w:numPr>
          <w:ilvl w:val="0"/>
          <w:numId w:val="2"/>
        </w:numPr>
        <w:suppressAutoHyphens w:val="true"/>
        <w:bidi w:val="0"/>
        <w:spacing w:lineRule="auto" w:line="240" w:before="0" w:after="0"/>
        <w:ind w:hanging="363" w:left="720" w:right="0"/>
        <w:jc w:val="both"/>
        <w:rPr>
          <w:sz w:val="22"/>
          <w:szCs w:val="22"/>
        </w:rPr>
      </w:pPr>
      <w:r>
        <w:rPr>
          <w:rFonts w:eastAsia="Times New Roman" w:cs="Arial" w:cstheme="minorHAnsi"/>
          <w:sz w:val="22"/>
          <w:szCs w:val="22"/>
        </w:rPr>
        <w:t>Caring pastorally for those who are the subject of concerns or allegations of abuse and other affected persons.</w:t>
      </w:r>
    </w:p>
    <w:p>
      <w:pPr>
        <w:pStyle w:val="Normal"/>
        <w:widowControl/>
        <w:numPr>
          <w:ilvl w:val="0"/>
          <w:numId w:val="2"/>
        </w:numPr>
        <w:suppressAutoHyphens w:val="true"/>
        <w:bidi w:val="0"/>
        <w:spacing w:lineRule="auto" w:line="240" w:before="0" w:after="113"/>
        <w:ind w:hanging="363" w:left="720" w:right="0"/>
        <w:jc w:val="both"/>
        <w:rPr>
          <w:sz w:val="22"/>
          <w:szCs w:val="22"/>
        </w:rPr>
      </w:pPr>
      <w:r>
        <w:rPr>
          <w:rFonts w:eastAsia="Times New Roman" w:cs="Arial" w:cstheme="minorHAnsi"/>
          <w:sz w:val="22"/>
          <w:szCs w:val="22"/>
        </w:rPr>
        <w:t>Responding to those that may pose a present risk to others.</w:t>
      </w:r>
    </w:p>
    <w:p>
      <w:pPr>
        <w:pStyle w:val="Normal"/>
        <w:numPr>
          <w:ilvl w:val="0"/>
          <w:numId w:val="1"/>
        </w:numPr>
        <w:spacing w:lineRule="auto" w:line="240" w:before="0" w:after="0"/>
        <w:jc w:val="both"/>
        <w:rPr>
          <w:sz w:val="22"/>
          <w:szCs w:val="22"/>
        </w:rPr>
      </w:pPr>
      <w:r>
        <w:rPr>
          <w:rFonts w:eastAsia="Times New Roman" w:cs="Arial" w:cstheme="minorHAnsi"/>
          <w:sz w:val="22"/>
          <w:szCs w:val="22"/>
        </w:rPr>
        <w:t xml:space="preserve">The Parish will:  </w:t>
      </w:r>
    </w:p>
    <w:p>
      <w:pPr>
        <w:pStyle w:val="Normal"/>
        <w:numPr>
          <w:ilvl w:val="0"/>
          <w:numId w:val="3"/>
        </w:numPr>
        <w:spacing w:lineRule="auto" w:line="240" w:before="0" w:after="0"/>
        <w:jc w:val="both"/>
        <w:rPr>
          <w:sz w:val="22"/>
          <w:szCs w:val="22"/>
        </w:rPr>
      </w:pPr>
      <w:r>
        <w:rPr>
          <w:rFonts w:eastAsia="Times New Roman" w:cs="Arial" w:cstheme="minorHAnsi"/>
          <w:sz w:val="22"/>
          <w:szCs w:val="22"/>
        </w:rPr>
        <w:t>Create a safe and caring place for all.</w:t>
      </w:r>
    </w:p>
    <w:p>
      <w:pPr>
        <w:pStyle w:val="Normal"/>
        <w:numPr>
          <w:ilvl w:val="0"/>
          <w:numId w:val="3"/>
        </w:numPr>
        <w:spacing w:lineRule="auto" w:line="240" w:before="0" w:after="0"/>
        <w:jc w:val="both"/>
        <w:rPr>
          <w:sz w:val="22"/>
          <w:szCs w:val="22"/>
        </w:rPr>
      </w:pPr>
      <w:r>
        <w:rPr>
          <w:rFonts w:eastAsia="Times New Roman" w:cs="Arial" w:cstheme="minorHAnsi"/>
          <w:sz w:val="22"/>
          <w:szCs w:val="22"/>
        </w:rPr>
        <w:t>Have a named Parish Safeguarding Officer (PSO) to work with the incumbent and the PCC to implement policy and procedures.</w:t>
      </w:r>
    </w:p>
    <w:p>
      <w:pPr>
        <w:pStyle w:val="Normal"/>
        <w:numPr>
          <w:ilvl w:val="0"/>
          <w:numId w:val="3"/>
        </w:numPr>
        <w:spacing w:lineRule="auto" w:line="240" w:before="0" w:after="0"/>
        <w:jc w:val="both"/>
        <w:rPr>
          <w:sz w:val="22"/>
          <w:szCs w:val="22"/>
        </w:rPr>
      </w:pPr>
      <w:r>
        <w:rPr>
          <w:rFonts w:eastAsia="Times New Roman" w:cs="Arial" w:cstheme="minorHAnsi"/>
          <w:sz w:val="22"/>
          <w:szCs w:val="22"/>
        </w:rPr>
        <w:t>Safely recruit, train and support all those with any responsibility for vulnerable people to have the confidence and skills to recognise and respond to abuse.</w:t>
      </w:r>
    </w:p>
    <w:p>
      <w:pPr>
        <w:pStyle w:val="Normal"/>
        <w:numPr>
          <w:ilvl w:val="0"/>
          <w:numId w:val="3"/>
        </w:numPr>
        <w:spacing w:lineRule="auto" w:line="240" w:before="120" w:after="0"/>
        <w:contextualSpacing/>
        <w:jc w:val="both"/>
        <w:rPr>
          <w:sz w:val="22"/>
          <w:szCs w:val="22"/>
        </w:rPr>
      </w:pPr>
      <w:r>
        <w:rPr>
          <w:rFonts w:eastAsia="Times New Roman" w:cs="Arial" w:cstheme="minorHAnsi"/>
          <w:sz w:val="22"/>
          <w:szCs w:val="22"/>
        </w:rPr>
        <w:t>Ensure there is appropriate insurance cover for all activities undertaken in the name of the parish.</w:t>
      </w:r>
    </w:p>
    <w:p>
      <w:pPr>
        <w:pStyle w:val="Normal"/>
        <w:numPr>
          <w:ilvl w:val="0"/>
          <w:numId w:val="3"/>
        </w:numPr>
        <w:spacing w:lineRule="auto" w:line="240" w:before="120" w:after="0"/>
        <w:contextualSpacing/>
        <w:jc w:val="both"/>
        <w:rPr>
          <w:sz w:val="22"/>
          <w:szCs w:val="22"/>
        </w:rPr>
      </w:pPr>
      <w:r>
        <w:rPr>
          <w:rFonts w:eastAsia="Times New Roman" w:cs="Arial" w:cstheme="minorHAnsi"/>
          <w:sz w:val="22"/>
          <w:szCs w:val="22"/>
        </w:rPr>
        <w:t>Display in church premises and on the Parish website the details of who to contact if there are safeguarding concerns or support needs.</w:t>
      </w:r>
    </w:p>
    <w:p>
      <w:pPr>
        <w:pStyle w:val="Normal"/>
        <w:numPr>
          <w:ilvl w:val="0"/>
          <w:numId w:val="3"/>
        </w:numPr>
        <w:spacing w:lineRule="auto" w:line="240" w:before="120" w:after="0"/>
        <w:contextualSpacing/>
        <w:jc w:val="both"/>
        <w:rPr>
          <w:sz w:val="22"/>
          <w:szCs w:val="22"/>
        </w:rPr>
      </w:pPr>
      <w:r>
        <w:rPr>
          <w:rFonts w:eastAsia="Times New Roman" w:cs="Arial" w:cstheme="minorHAnsi"/>
          <w:sz w:val="22"/>
          <w:szCs w:val="22"/>
        </w:rPr>
        <w:t>Listen to and take seriously all those who disclose abuse.</w:t>
      </w:r>
    </w:p>
    <w:p>
      <w:pPr>
        <w:pStyle w:val="Normal"/>
        <w:numPr>
          <w:ilvl w:val="0"/>
          <w:numId w:val="3"/>
        </w:numPr>
        <w:spacing w:lineRule="auto" w:line="240" w:before="120" w:after="0"/>
        <w:contextualSpacing/>
        <w:jc w:val="both"/>
        <w:rPr>
          <w:sz w:val="22"/>
          <w:szCs w:val="22"/>
        </w:rPr>
      </w:pPr>
      <w:r>
        <w:rPr>
          <w:rFonts w:eastAsia="Calibri" w:cs="Arial" w:cstheme="minorHAnsi"/>
          <w:sz w:val="22"/>
          <w:szCs w:val="22"/>
          <w:lang w:eastAsia="en-US"/>
        </w:rPr>
        <w:t xml:space="preserve">Take steps to protect </w:t>
      </w:r>
      <w:r>
        <w:rPr>
          <w:rFonts w:eastAsia="Times New Roman" w:cs="Arial" w:cstheme="minorHAnsi"/>
          <w:sz w:val="22"/>
          <w:szCs w:val="22"/>
          <w:lang w:eastAsia="en-US"/>
        </w:rPr>
        <w:t>vulnerable people</w:t>
      </w:r>
      <w:r>
        <w:rPr>
          <w:rFonts w:eastAsia="Calibri" w:cs="Arial" w:cstheme="minorHAnsi"/>
          <w:sz w:val="22"/>
          <w:szCs w:val="22"/>
          <w:lang w:eastAsia="en-US"/>
        </w:rPr>
        <w:t xml:space="preserve"> when a safeguarding concern of any kind arises, following House of Bishops guidance, including </w:t>
      </w:r>
      <w:r>
        <w:rPr>
          <w:rFonts w:eastAsia="Times New Roman" w:cs="Arial" w:cstheme="minorHAnsi"/>
          <w:sz w:val="22"/>
          <w:szCs w:val="22"/>
        </w:rPr>
        <w:t>notifying the Diocesan Safeguarding Adviser (DSA) and statutory agencies immediately.</w:t>
      </w:r>
    </w:p>
    <w:p>
      <w:pPr>
        <w:pStyle w:val="Normal"/>
        <w:numPr>
          <w:ilvl w:val="0"/>
          <w:numId w:val="3"/>
        </w:numPr>
        <w:spacing w:lineRule="auto" w:line="240" w:before="120" w:after="0"/>
        <w:contextualSpacing/>
        <w:jc w:val="both"/>
        <w:rPr>
          <w:sz w:val="22"/>
          <w:szCs w:val="22"/>
        </w:rPr>
      </w:pPr>
      <w:r>
        <w:rPr>
          <w:rFonts w:eastAsia="Times New Roman" w:cs="Arial" w:cstheme="minorHAnsi"/>
          <w:sz w:val="22"/>
          <w:szCs w:val="22"/>
        </w:rPr>
        <w:t>Offer support to victims/survivors of abuse regardless of the type of abuse, when or where it occurred.</w:t>
      </w:r>
    </w:p>
    <w:p>
      <w:pPr>
        <w:pStyle w:val="Normal"/>
        <w:numPr>
          <w:ilvl w:val="0"/>
          <w:numId w:val="3"/>
        </w:numPr>
        <w:spacing w:lineRule="auto" w:line="240" w:before="120" w:after="0"/>
        <w:contextualSpacing/>
        <w:jc w:val="both"/>
        <w:rPr>
          <w:sz w:val="22"/>
          <w:szCs w:val="22"/>
        </w:rPr>
      </w:pPr>
      <w:r>
        <w:rPr>
          <w:rFonts w:eastAsia="Times New Roman" w:cs="Arial" w:cstheme="minorHAnsi"/>
          <w:sz w:val="22"/>
          <w:szCs w:val="22"/>
        </w:rPr>
        <w:t xml:space="preserve">Care for and monitor any member of the church community who may pose a risk to vulnerable people whilst maintaining appropriate confidentiality and the safety of all parties. </w:t>
      </w:r>
    </w:p>
    <w:p>
      <w:pPr>
        <w:pStyle w:val="Normal"/>
        <w:numPr>
          <w:ilvl w:val="0"/>
          <w:numId w:val="3"/>
        </w:numPr>
        <w:spacing w:lineRule="auto" w:line="240" w:before="120" w:after="0"/>
        <w:contextualSpacing/>
        <w:jc w:val="both"/>
        <w:rPr>
          <w:sz w:val="22"/>
          <w:szCs w:val="22"/>
        </w:rPr>
      </w:pPr>
      <w:r>
        <w:rPr>
          <w:rFonts w:eastAsia="Times New Roman" w:cs="Arial" w:cstheme="minorHAnsi"/>
          <w:sz w:val="22"/>
          <w:szCs w:val="22"/>
        </w:rPr>
        <w:t>Ensure that health and safety policy, procedures and risk assessments are in place and that these are reviewed annually.</w:t>
      </w:r>
    </w:p>
    <w:p>
      <w:pPr>
        <w:pStyle w:val="Normal"/>
        <w:numPr>
          <w:ilvl w:val="0"/>
          <w:numId w:val="3"/>
        </w:numPr>
        <w:spacing w:lineRule="auto" w:line="240" w:before="0" w:after="113"/>
        <w:jc w:val="both"/>
        <w:rPr>
          <w:sz w:val="22"/>
          <w:szCs w:val="22"/>
        </w:rPr>
      </w:pPr>
      <w:r>
        <w:rPr>
          <w:rFonts w:eastAsia="Times New Roman" w:cs="Arial" w:cstheme="minorHAnsi"/>
          <w:sz w:val="22"/>
          <w:szCs w:val="22"/>
        </w:rPr>
        <w:t>Review the implementation of the Safeguarding Policy, Procedures and Practices at least annually.</w:t>
      </w:r>
    </w:p>
    <w:p>
      <w:pPr>
        <w:pStyle w:val="Normal"/>
        <w:numPr>
          <w:ilvl w:val="0"/>
          <w:numId w:val="1"/>
        </w:numPr>
        <w:spacing w:lineRule="auto" w:line="240" w:before="0" w:after="113"/>
        <w:jc w:val="both"/>
        <w:rPr>
          <w:sz w:val="22"/>
          <w:szCs w:val="22"/>
        </w:rPr>
      </w:pPr>
      <w:r>
        <w:rPr>
          <w:rFonts w:cs="Arial" w:cstheme="minorHAnsi"/>
          <w:sz w:val="22"/>
          <w:szCs w:val="22"/>
        </w:rPr>
        <w:t>Each person who works within this church community will agree to abide by this policy and the guidelines established by this church.</w:t>
      </w:r>
    </w:p>
    <w:p>
      <w:pPr>
        <w:pStyle w:val="Normal"/>
        <w:numPr>
          <w:ilvl w:val="0"/>
          <w:numId w:val="1"/>
        </w:numPr>
        <w:spacing w:lineRule="auto" w:line="240" w:before="0" w:after="113"/>
        <w:rPr>
          <w:sz w:val="22"/>
          <w:szCs w:val="22"/>
        </w:rPr>
      </w:pPr>
      <w:r>
        <w:rPr>
          <w:rFonts w:cs="Arial" w:cstheme="minorHAnsi"/>
          <w:sz w:val="22"/>
          <w:szCs w:val="22"/>
        </w:rPr>
        <w:t>This church appoints Anne Dunning as the Parish Safeguarding Officer, and with Nicola Dant and Rosa Severino as Deputy Parish Safeguarding Officers.</w:t>
      </w:r>
    </w:p>
    <w:p>
      <w:pPr>
        <w:pStyle w:val="Normal"/>
        <w:numPr>
          <w:ilvl w:val="0"/>
          <w:numId w:val="1"/>
        </w:numPr>
        <w:spacing w:lineRule="auto" w:line="240" w:before="0" w:after="283"/>
        <w:rPr>
          <w:sz w:val="22"/>
          <w:szCs w:val="22"/>
        </w:rPr>
      </w:pPr>
      <w:r>
        <w:rPr>
          <w:rFonts w:cs="Arial" w:cstheme="minorHAnsi"/>
          <w:sz w:val="22"/>
          <w:szCs w:val="22"/>
        </w:rPr>
        <w:t xml:space="preserve">Incumbent </w:t>
        <w:tab/>
        <w:tab/>
        <w:t>...................................................................</w:t>
      </w:r>
    </w:p>
    <w:p>
      <w:pPr>
        <w:pStyle w:val="Normal"/>
        <w:numPr>
          <w:ilvl w:val="0"/>
          <w:numId w:val="1"/>
        </w:numPr>
        <w:spacing w:lineRule="auto" w:line="240" w:before="0" w:after="113"/>
        <w:rPr>
          <w:sz w:val="22"/>
          <w:szCs w:val="22"/>
        </w:rPr>
      </w:pPr>
      <w:r>
        <w:rPr>
          <w:rFonts w:cs="Arial" w:cstheme="minorHAnsi"/>
          <w:sz w:val="22"/>
          <w:szCs w:val="22"/>
        </w:rPr>
        <w:t xml:space="preserve">Churchwardens </w:t>
        <w:tab/>
        <w:t>.........................................................................................................…</w:t>
      </w:r>
    </w:p>
    <w:p>
      <w:pPr>
        <w:pStyle w:val="Normal"/>
        <w:numPr>
          <w:ilvl w:val="0"/>
          <w:numId w:val="1"/>
        </w:numPr>
        <w:spacing w:lineRule="auto" w:line="240"/>
        <w:rPr>
          <w:sz w:val="22"/>
          <w:szCs w:val="22"/>
        </w:rPr>
      </w:pPr>
      <w:r>
        <w:rPr>
          <w:rFonts w:cs="Arial" w:cstheme="minorHAnsi"/>
          <w:sz w:val="22"/>
          <w:szCs w:val="22"/>
        </w:rPr>
        <w:t>Date:</w:t>
      </w:r>
      <w:r>
        <w:br w:type="page"/>
      </w:r>
    </w:p>
    <w:p>
      <w:pPr>
        <w:pStyle w:val="Heading2"/>
        <w:numPr>
          <w:ilvl w:val="1"/>
          <w:numId w:val="1"/>
        </w:numPr>
        <w:bidi w:val="0"/>
        <w:spacing w:before="0" w:after="119"/>
        <w:jc w:val="left"/>
        <w:rPr/>
      </w:pPr>
      <w:r>
        <w:rPr/>
        <w:t>Appendix A</w:t>
      </w:r>
    </w:p>
    <w:p>
      <w:pPr>
        <w:pStyle w:val="Heading2"/>
        <w:numPr>
          <w:ilvl w:val="1"/>
          <w:numId w:val="1"/>
        </w:numPr>
        <w:bidi w:val="0"/>
        <w:spacing w:before="0" w:after="119"/>
        <w:jc w:val="left"/>
        <w:rPr/>
      </w:pPr>
      <w:r>
        <w:rPr/>
        <w:t>Safer Recruitment</w:t>
      </w:r>
    </w:p>
    <w:p>
      <w:pPr>
        <w:pStyle w:val="BodyText"/>
        <w:bidi w:val="0"/>
        <w:spacing w:before="0" w:after="113"/>
        <w:jc w:val="left"/>
        <w:rPr/>
      </w:pPr>
      <w:r>
        <w:rPr/>
        <w:t>The PCC is responsible for the appointment of those working with children, young people and vulnerable adults, paid or unpaid. Often the responsibility is delegated to the incumbent. At least two individuals (who could include the incumbent) must be responsible for recruitment. All those involved in recruitment must be capable and competent, trained in safer recruitment and able to keep personal matters confidential.</w:t>
      </w:r>
    </w:p>
    <w:p>
      <w:pPr>
        <w:pStyle w:val="Heading4"/>
        <w:numPr>
          <w:ilvl w:val="3"/>
          <w:numId w:val="1"/>
        </w:numPr>
        <w:bidi w:val="0"/>
        <w:jc w:val="left"/>
        <w:rPr/>
      </w:pPr>
      <w:r>
        <w:rPr/>
        <w:t>1. Job/role description</w:t>
      </w:r>
    </w:p>
    <w:p>
      <w:pPr>
        <w:pStyle w:val="BodyText"/>
        <w:bidi w:val="0"/>
        <w:spacing w:before="0" w:after="113"/>
        <w:jc w:val="left"/>
        <w:rPr/>
      </w:pPr>
      <w:r>
        <w:rPr/>
        <w:t>Construct a clear and accurate job description and person specification, or for an unpaid role, a role outline, who set out what tasks and responsibilities the applicant will undertake, and the skills and experience required. This will include what level of DBS check is required.</w:t>
      </w:r>
    </w:p>
    <w:p>
      <w:pPr>
        <w:pStyle w:val="Heading4"/>
        <w:numPr>
          <w:ilvl w:val="3"/>
          <w:numId w:val="1"/>
        </w:numPr>
        <w:bidi w:val="0"/>
        <w:jc w:val="left"/>
        <w:rPr/>
      </w:pPr>
      <w:r>
        <w:rPr/>
        <w:t>2. Advertise</w:t>
      </w:r>
    </w:p>
    <w:p>
      <w:pPr>
        <w:pStyle w:val="BodyText"/>
        <w:bidi w:val="0"/>
        <w:spacing w:before="0" w:after="113"/>
        <w:jc w:val="left"/>
        <w:rPr/>
      </w:pPr>
      <w:r>
        <w:rPr/>
        <w:t>Advertise unpaid roles within parish notices and paid roles more widely.</w:t>
      </w:r>
    </w:p>
    <w:p>
      <w:pPr>
        <w:pStyle w:val="Heading4"/>
        <w:numPr>
          <w:ilvl w:val="3"/>
          <w:numId w:val="1"/>
        </w:numPr>
        <w:bidi w:val="0"/>
        <w:jc w:val="left"/>
        <w:rPr/>
      </w:pPr>
      <w:r>
        <w:rPr/>
        <w:t>3. Application form</w:t>
      </w:r>
    </w:p>
    <w:p>
      <w:pPr>
        <w:pStyle w:val="BodyText"/>
        <w:bidi w:val="0"/>
        <w:spacing w:before="0" w:after="113"/>
        <w:jc w:val="left"/>
        <w:rPr/>
      </w:pPr>
      <w:r>
        <w:rPr/>
        <w:t>Ask all applicants to complete an application form for all paid roles (a Curriculum Vitae may be used for voluntary roles but an application form is good practice and is recommended). Always ask for, take up and check two references.</w:t>
      </w:r>
    </w:p>
    <w:p>
      <w:pPr>
        <w:pStyle w:val="Heading4"/>
        <w:numPr>
          <w:ilvl w:val="3"/>
          <w:numId w:val="1"/>
        </w:numPr>
        <w:bidi w:val="0"/>
        <w:jc w:val="left"/>
        <w:rPr/>
      </w:pPr>
      <w:r>
        <w:rPr/>
        <w:t>4. Confidential Declaration Form</w:t>
      </w:r>
    </w:p>
    <w:p>
      <w:pPr>
        <w:pStyle w:val="BodyText"/>
        <w:numPr>
          <w:ilvl w:val="0"/>
          <w:numId w:val="0"/>
        </w:numPr>
        <w:bidi w:val="0"/>
        <w:spacing w:before="0" w:after="119"/>
        <w:ind w:hanging="0" w:left="0"/>
        <w:jc w:val="left"/>
        <w:outlineLvl w:val="1"/>
        <w:rPr/>
      </w:pPr>
      <w:r>
        <w:rPr/>
        <w:t>Ask all applicants to complete a Confidential Declaration Form.</w:t>
      </w:r>
    </w:p>
    <w:p>
      <w:pPr>
        <w:pStyle w:val="Heading4"/>
        <w:numPr>
          <w:ilvl w:val="3"/>
          <w:numId w:val="1"/>
        </w:numPr>
        <w:bidi w:val="0"/>
        <w:jc w:val="left"/>
        <w:rPr/>
      </w:pPr>
      <w:r>
        <w:rPr/>
        <w:t>5. Shortlist (paid posts)</w:t>
      </w:r>
    </w:p>
    <w:p>
      <w:pPr>
        <w:pStyle w:val="BodyText"/>
        <w:numPr>
          <w:ilvl w:val="0"/>
          <w:numId w:val="0"/>
        </w:numPr>
        <w:bidi w:val="0"/>
        <w:spacing w:before="0" w:after="119"/>
        <w:ind w:hanging="0" w:left="0"/>
        <w:jc w:val="left"/>
        <w:outlineLvl w:val="1"/>
        <w:rPr/>
      </w:pPr>
      <w:r>
        <w:rPr/>
        <w:t>Shortlist, carefully examining the application forms. Identify any gaps in employment/personal history and ensure those shortlisted meet the requirements of the person specification.</w:t>
      </w:r>
    </w:p>
    <w:p>
      <w:pPr>
        <w:pStyle w:val="Heading4"/>
        <w:numPr>
          <w:ilvl w:val="3"/>
          <w:numId w:val="1"/>
        </w:numPr>
        <w:bidi w:val="0"/>
        <w:jc w:val="left"/>
        <w:rPr/>
      </w:pPr>
      <w:r>
        <w:rPr/>
        <w:t>Shortlist (unpaid posts)</w:t>
      </w:r>
    </w:p>
    <w:p>
      <w:pPr>
        <w:pStyle w:val="BodyText"/>
        <w:numPr>
          <w:ilvl w:val="0"/>
          <w:numId w:val="0"/>
        </w:numPr>
        <w:bidi w:val="0"/>
        <w:spacing w:before="0" w:after="119"/>
        <w:ind w:hanging="0" w:left="0"/>
        <w:jc w:val="left"/>
        <w:outlineLvl w:val="1"/>
        <w:rPr/>
      </w:pPr>
      <w:r>
        <w:rPr/>
        <w:t>Review any interest from volunteers and assess suitability against requirements.</w:t>
      </w:r>
    </w:p>
    <w:p>
      <w:pPr>
        <w:pStyle w:val="Heading4"/>
        <w:numPr>
          <w:ilvl w:val="3"/>
          <w:numId w:val="1"/>
        </w:numPr>
        <w:bidi w:val="0"/>
        <w:jc w:val="left"/>
        <w:rPr/>
      </w:pPr>
      <w:r>
        <w:rPr/>
        <w:t>6. Interview</w:t>
      </w:r>
    </w:p>
    <w:p>
      <w:pPr>
        <w:pStyle w:val="BodyText"/>
        <w:numPr>
          <w:ilvl w:val="0"/>
          <w:numId w:val="0"/>
        </w:numPr>
        <w:bidi w:val="0"/>
        <w:spacing w:before="0" w:after="119"/>
        <w:ind w:hanging="0" w:left="0"/>
        <w:jc w:val="left"/>
        <w:outlineLvl w:val="1"/>
        <w:rPr/>
      </w:pPr>
      <w:r>
        <w:rPr/>
        <w:t>Have a face-to-face interview (or informal discussion if unpaid) with pre-planned and clear questions to assess applicants’ suitability for the role. Seek explanations for gaps in employment/personal history. It may also be appropriate to ask the individual to complete a test or presentation if applicable. Check identification and the Confidential Declaration Form (CDF).</w:t>
      </w:r>
    </w:p>
    <w:p>
      <w:pPr>
        <w:pStyle w:val="Heading4"/>
        <w:numPr>
          <w:ilvl w:val="3"/>
          <w:numId w:val="1"/>
        </w:numPr>
        <w:bidi w:val="0"/>
        <w:jc w:val="left"/>
        <w:rPr/>
      </w:pPr>
      <w:r>
        <w:rPr/>
        <w:t>7. Offer the role</w:t>
      </w:r>
    </w:p>
    <w:p>
      <w:pPr>
        <w:pStyle w:val="BodyText"/>
        <w:numPr>
          <w:ilvl w:val="0"/>
          <w:numId w:val="0"/>
        </w:numPr>
        <w:bidi w:val="0"/>
        <w:spacing w:before="0" w:after="119"/>
        <w:ind w:hanging="0" w:left="0"/>
        <w:jc w:val="left"/>
        <w:outlineLvl w:val="1"/>
        <w:rPr/>
      </w:pPr>
      <w:r>
        <w:rPr/>
        <w:t>Decide whom to offer the role to. This decision will be made by the interviewing panel. This is subject to completion of all checks to the satisfaction of the PCC. No role can commence until satisfactory checks have been completed.</w:t>
      </w:r>
    </w:p>
    <w:p>
      <w:pPr>
        <w:pStyle w:val="Heading4"/>
        <w:numPr>
          <w:ilvl w:val="3"/>
          <w:numId w:val="1"/>
        </w:numPr>
        <w:bidi w:val="0"/>
        <w:jc w:val="left"/>
        <w:rPr/>
      </w:pPr>
      <w:r>
        <w:rPr/>
        <w:t>8. Checks</w:t>
      </w:r>
    </w:p>
    <w:p>
      <w:pPr>
        <w:pStyle w:val="BodyText"/>
        <w:numPr>
          <w:ilvl w:val="0"/>
          <w:numId w:val="0"/>
        </w:numPr>
        <w:bidi w:val="0"/>
        <w:spacing w:before="0" w:after="119"/>
        <w:ind w:hanging="0" w:left="0"/>
        <w:jc w:val="left"/>
        <w:outlineLvl w:val="1"/>
        <w:rPr/>
      </w:pPr>
      <w:r>
        <w:rPr/>
        <w:t>Once the applicant has been offered the role, subject to satisfactory checks, ask the applicant to complete an enhanced Disclosure and Barring Service (DBS) check application. Any blemished DBS checks or information of concern on the CDF must be risk assessed by the DSA. Always check the applicants' two references.</w:t>
      </w:r>
    </w:p>
    <w:p>
      <w:pPr>
        <w:pStyle w:val="Heading4"/>
        <w:numPr>
          <w:ilvl w:val="3"/>
          <w:numId w:val="1"/>
        </w:numPr>
        <w:bidi w:val="0"/>
        <w:jc w:val="left"/>
        <w:rPr/>
      </w:pPr>
      <w:r>
        <w:rPr/>
        <w:t>9. Appoint</w:t>
      </w:r>
    </w:p>
    <w:p>
      <w:pPr>
        <w:pStyle w:val="BodyText"/>
        <w:numPr>
          <w:ilvl w:val="0"/>
          <w:numId w:val="0"/>
        </w:numPr>
        <w:bidi w:val="0"/>
        <w:spacing w:before="0" w:after="119"/>
        <w:ind w:hanging="0" w:left="0"/>
        <w:jc w:val="left"/>
        <w:outlineLvl w:val="1"/>
        <w:rPr/>
      </w:pPr>
      <w:r>
        <w:rPr/>
        <w:t>Once all checks are satisfactory and support the interview decision, the person can be formally appointed. It is recommended to add an end date to unpaid roles. This can always be extended but helps set expectations for both parties.</w:t>
      </w:r>
    </w:p>
    <w:p>
      <w:pPr>
        <w:pStyle w:val="Heading4"/>
        <w:numPr>
          <w:ilvl w:val="3"/>
          <w:numId w:val="1"/>
        </w:numPr>
        <w:bidi w:val="0"/>
        <w:jc w:val="left"/>
        <w:rPr/>
      </w:pPr>
      <w:r>
        <w:rPr/>
        <w:t>10. Probation period</w:t>
      </w:r>
    </w:p>
    <w:p>
      <w:pPr>
        <w:pStyle w:val="BodyText"/>
        <w:numPr>
          <w:ilvl w:val="0"/>
          <w:numId w:val="0"/>
        </w:numPr>
        <w:bidi w:val="0"/>
        <w:spacing w:before="0" w:after="119"/>
        <w:ind w:hanging="0" w:left="0"/>
        <w:jc w:val="left"/>
        <w:outlineLvl w:val="1"/>
        <w:rPr/>
      </w:pPr>
      <w:r>
        <w:rPr/>
        <w:t xml:space="preserve">Have a period of probation for any paid role (or a settling-in period for unpaid) and review throughout, as well as at the end of this period. </w:t>
      </w:r>
    </w:p>
    <w:p>
      <w:pPr>
        <w:pStyle w:val="Heading4"/>
        <w:numPr>
          <w:ilvl w:val="3"/>
          <w:numId w:val="1"/>
        </w:numPr>
        <w:bidi w:val="0"/>
        <w:jc w:val="left"/>
        <w:rPr/>
      </w:pPr>
      <w:r>
        <w:rPr/>
        <w:t>11. Induct, train and support</w:t>
      </w:r>
    </w:p>
    <w:p>
      <w:pPr>
        <w:pStyle w:val="BodyText"/>
        <w:numPr>
          <w:ilvl w:val="0"/>
          <w:numId w:val="0"/>
        </w:numPr>
        <w:bidi w:val="0"/>
        <w:spacing w:before="0" w:after="119"/>
        <w:ind w:hanging="0" w:left="0"/>
        <w:jc w:val="left"/>
        <w:outlineLvl w:val="1"/>
        <w:rPr/>
      </w:pPr>
      <w:r>
        <w:rPr/>
        <w:t>Induct new unpaid and paid workers. This should include expectations in relation to behaviour (a Code of Conduct). Ensure supervision/support is in place and arrange for attendance on the Church of England safeguarding training.</w:t>
      </w:r>
    </w:p>
    <w:p>
      <w:pPr>
        <w:pStyle w:val="BodyText"/>
        <w:numPr>
          <w:ilvl w:val="0"/>
          <w:numId w:val="0"/>
        </w:numPr>
        <w:bidi w:val="0"/>
        <w:spacing w:before="0" w:after="119"/>
        <w:ind w:hanging="0" w:left="0"/>
        <w:jc w:val="left"/>
        <w:outlineLvl w:val="1"/>
        <w:rPr/>
      </w:pPr>
      <w:r>
        <w:rPr/>
      </w:r>
      <w:r>
        <w:br w:type="page"/>
      </w:r>
    </w:p>
    <w:p>
      <w:pPr>
        <w:pStyle w:val="Heading1"/>
        <w:numPr>
          <w:ilvl w:val="0"/>
          <w:numId w:val="1"/>
        </w:numPr>
        <w:bidi w:val="0"/>
        <w:spacing w:before="0" w:after="119"/>
        <w:jc w:val="left"/>
        <w:rPr/>
      </w:pPr>
      <w:r>
        <w:rPr/>
        <w:t>Appendix B</w:t>
      </w:r>
    </w:p>
    <w:p>
      <w:pPr>
        <w:pStyle w:val="Heading1"/>
        <w:numPr>
          <w:ilvl w:val="0"/>
          <w:numId w:val="1"/>
        </w:numPr>
        <w:bidi w:val="0"/>
        <w:spacing w:before="0" w:after="119"/>
        <w:jc w:val="left"/>
        <w:rPr/>
      </w:pPr>
      <w:r>
        <w:rPr/>
        <w:t>Safeguarding Training</w:t>
      </w:r>
    </w:p>
    <w:tbl>
      <w:tblPr>
        <w:tblW w:w="9633" w:type="dxa"/>
        <w:jc w:val="left"/>
        <w:tblInd w:w="55" w:type="dxa"/>
        <w:tblLayout w:type="fixed"/>
        <w:tblCellMar>
          <w:top w:w="55" w:type="dxa"/>
          <w:left w:w="55" w:type="dxa"/>
          <w:bottom w:w="55" w:type="dxa"/>
          <w:right w:w="55" w:type="dxa"/>
        </w:tblCellMar>
      </w:tblPr>
      <w:tblGrid>
        <w:gridCol w:w="2887"/>
        <w:gridCol w:w="4333"/>
        <w:gridCol w:w="2413"/>
      </w:tblGrid>
      <w:tr>
        <w:trPr/>
        <w:tc>
          <w:tcPr>
            <w:tcW w:w="2887" w:type="dxa"/>
            <w:tcBorders>
              <w:top w:val="single" w:sz="2" w:space="0" w:color="000000"/>
              <w:left w:val="single" w:sz="2" w:space="0" w:color="000000"/>
              <w:bottom w:val="single" w:sz="2" w:space="0" w:color="000000"/>
            </w:tcBorders>
          </w:tcPr>
          <w:p>
            <w:pPr>
              <w:pStyle w:val="TableContents"/>
              <w:widowControl w:val="false"/>
              <w:bidi w:val="0"/>
              <w:jc w:val="left"/>
              <w:rPr/>
            </w:pPr>
            <w:r>
              <w:rPr/>
              <w:t>Title</w:t>
            </w:r>
          </w:p>
        </w:tc>
        <w:tc>
          <w:tcPr>
            <w:tcW w:w="4333" w:type="dxa"/>
            <w:tcBorders>
              <w:top w:val="single" w:sz="2" w:space="0" w:color="000000"/>
              <w:left w:val="single" w:sz="2" w:space="0" w:color="000000"/>
              <w:bottom w:val="single" w:sz="2" w:space="0" w:color="000000"/>
            </w:tcBorders>
          </w:tcPr>
          <w:p>
            <w:pPr>
              <w:pStyle w:val="TableContents"/>
              <w:widowControl w:val="false"/>
              <w:bidi w:val="0"/>
              <w:jc w:val="left"/>
              <w:rPr/>
            </w:pPr>
            <w:r>
              <w:rPr/>
              <w:t>Who needs to do it</w:t>
            </w:r>
          </w:p>
        </w:tc>
        <w:tc>
          <w:tcPr>
            <w:tcW w:w="2413" w:type="dxa"/>
            <w:tcBorders>
              <w:top w:val="single" w:sz="2" w:space="0" w:color="000000"/>
              <w:left w:val="single" w:sz="2" w:space="0" w:color="000000"/>
              <w:bottom w:val="single" w:sz="2" w:space="0" w:color="000000"/>
              <w:right w:val="single" w:sz="2" w:space="0" w:color="000000"/>
            </w:tcBorders>
          </w:tcPr>
          <w:p>
            <w:pPr>
              <w:pStyle w:val="TableContents"/>
              <w:widowControl w:val="false"/>
              <w:bidi w:val="0"/>
              <w:jc w:val="left"/>
              <w:rPr/>
            </w:pPr>
            <w:r>
              <w:rPr/>
              <w:t>How to get it</w:t>
            </w:r>
          </w:p>
        </w:tc>
      </w:tr>
      <w:tr>
        <w:trPr/>
        <w:tc>
          <w:tcPr>
            <w:tcW w:w="2887" w:type="dxa"/>
            <w:tcBorders>
              <w:left w:val="single" w:sz="2" w:space="0" w:color="000000"/>
              <w:bottom w:val="single" w:sz="2" w:space="0" w:color="000000"/>
            </w:tcBorders>
          </w:tcPr>
          <w:p>
            <w:pPr>
              <w:pStyle w:val="TableContents"/>
              <w:widowControl w:val="false"/>
              <w:bidi w:val="0"/>
              <w:jc w:val="left"/>
              <w:rPr/>
            </w:pPr>
            <w:r>
              <w:rPr/>
              <w:t>1. Basic Awareness</w:t>
            </w:r>
          </w:p>
        </w:tc>
        <w:tc>
          <w:tcPr>
            <w:tcW w:w="4333" w:type="dxa"/>
            <w:tcBorders>
              <w:left w:val="single" w:sz="2" w:space="0" w:color="000000"/>
              <w:bottom w:val="single" w:sz="2" w:space="0" w:color="000000"/>
            </w:tcBorders>
          </w:tcPr>
          <w:p>
            <w:pPr>
              <w:pStyle w:val="TableContents"/>
              <w:widowControl w:val="false"/>
              <w:bidi w:val="0"/>
              <w:jc w:val="left"/>
              <w:rPr/>
            </w:pPr>
            <w:r>
              <w:rPr/>
              <w:t>All church officers, and anyone who is interested,</w:t>
            </w:r>
          </w:p>
        </w:tc>
        <w:tc>
          <w:tcPr>
            <w:tcW w:w="2413" w:type="dxa"/>
            <w:tcBorders>
              <w:left w:val="single" w:sz="2" w:space="0" w:color="000000"/>
              <w:bottom w:val="single" w:sz="2" w:space="0" w:color="000000"/>
              <w:right w:val="single" w:sz="2" w:space="0" w:color="000000"/>
            </w:tcBorders>
          </w:tcPr>
          <w:p>
            <w:pPr>
              <w:pStyle w:val="TableContents"/>
              <w:widowControl w:val="false"/>
              <w:bidi w:val="0"/>
              <w:jc w:val="left"/>
              <w:rPr/>
            </w:pPr>
            <w:r>
              <w:rPr/>
              <w:t>Online</w:t>
            </w:r>
          </w:p>
        </w:tc>
      </w:tr>
      <w:tr>
        <w:trPr/>
        <w:tc>
          <w:tcPr>
            <w:tcW w:w="2887" w:type="dxa"/>
            <w:tcBorders>
              <w:left w:val="single" w:sz="2" w:space="0" w:color="000000"/>
              <w:bottom w:val="single" w:sz="2" w:space="0" w:color="000000"/>
            </w:tcBorders>
          </w:tcPr>
          <w:p>
            <w:pPr>
              <w:pStyle w:val="TableContents"/>
              <w:widowControl w:val="false"/>
              <w:bidi w:val="0"/>
              <w:jc w:val="left"/>
              <w:rPr/>
            </w:pPr>
            <w:r>
              <w:rPr/>
              <w:t>2. Foundations</w:t>
            </w:r>
          </w:p>
        </w:tc>
        <w:tc>
          <w:tcPr>
            <w:tcW w:w="4333" w:type="dxa"/>
            <w:tcBorders>
              <w:left w:val="single" w:sz="2" w:space="0" w:color="000000"/>
              <w:bottom w:val="single" w:sz="2" w:space="0" w:color="000000"/>
            </w:tcBorders>
          </w:tcPr>
          <w:p>
            <w:pPr>
              <w:pStyle w:val="TableContents"/>
              <w:widowControl w:val="false"/>
              <w:bidi w:val="0"/>
              <w:jc w:val="left"/>
              <w:rPr/>
            </w:pPr>
            <w:r>
              <w:rPr/>
              <w:t>PCC members, Churchwardens, Special Branch Leaders, Youth leaders, Pastoral workers, Messy Church helpers, Pop-In helpers, Home group leaders,</w:t>
            </w:r>
          </w:p>
        </w:tc>
        <w:tc>
          <w:tcPr>
            <w:tcW w:w="2413" w:type="dxa"/>
            <w:tcBorders>
              <w:left w:val="single" w:sz="2" w:space="0" w:color="000000"/>
              <w:bottom w:val="single" w:sz="2" w:space="0" w:color="000000"/>
              <w:right w:val="single" w:sz="2" w:space="0" w:color="000000"/>
            </w:tcBorders>
          </w:tcPr>
          <w:p>
            <w:pPr>
              <w:pStyle w:val="TableContents"/>
              <w:widowControl w:val="false"/>
              <w:bidi w:val="0"/>
              <w:jc w:val="left"/>
              <w:rPr/>
            </w:pPr>
            <w:r>
              <w:rPr/>
              <w:t>Online</w:t>
            </w:r>
          </w:p>
        </w:tc>
      </w:tr>
      <w:tr>
        <w:trPr/>
        <w:tc>
          <w:tcPr>
            <w:tcW w:w="2887" w:type="dxa"/>
            <w:tcBorders>
              <w:left w:val="single" w:sz="2" w:space="0" w:color="000000"/>
              <w:bottom w:val="single" w:sz="2" w:space="0" w:color="000000"/>
            </w:tcBorders>
          </w:tcPr>
          <w:p>
            <w:pPr>
              <w:pStyle w:val="TableContents"/>
              <w:widowControl w:val="false"/>
              <w:bidi w:val="0"/>
              <w:jc w:val="left"/>
              <w:rPr/>
            </w:pPr>
            <w:r>
              <w:rPr/>
              <w:t>3. Leadership</w:t>
            </w:r>
          </w:p>
        </w:tc>
        <w:tc>
          <w:tcPr>
            <w:tcW w:w="4333" w:type="dxa"/>
            <w:tcBorders>
              <w:left w:val="single" w:sz="2" w:space="0" w:color="000000"/>
              <w:bottom w:val="single" w:sz="2" w:space="0" w:color="000000"/>
            </w:tcBorders>
          </w:tcPr>
          <w:p>
            <w:pPr>
              <w:pStyle w:val="TableContents"/>
              <w:widowControl w:val="false"/>
              <w:bidi w:val="0"/>
              <w:jc w:val="left"/>
              <w:rPr/>
            </w:pPr>
            <w:r>
              <w:rPr/>
              <w:t>Clergy, Readers, Discipleship Enablers, Parish Safeguarding Officers</w:t>
            </w:r>
          </w:p>
        </w:tc>
        <w:tc>
          <w:tcPr>
            <w:tcW w:w="2413" w:type="dxa"/>
            <w:tcBorders>
              <w:left w:val="single" w:sz="2" w:space="0" w:color="000000"/>
              <w:bottom w:val="single" w:sz="2" w:space="0" w:color="000000"/>
              <w:right w:val="single" w:sz="2" w:space="0" w:color="000000"/>
            </w:tcBorders>
          </w:tcPr>
          <w:p>
            <w:pPr>
              <w:pStyle w:val="TableContents"/>
              <w:widowControl w:val="false"/>
              <w:bidi w:val="0"/>
              <w:jc w:val="left"/>
              <w:rPr/>
            </w:pPr>
            <w:r>
              <w:rPr/>
              <w:t>Virtual training – book online</w:t>
            </w:r>
          </w:p>
        </w:tc>
      </w:tr>
      <w:tr>
        <w:trPr/>
        <w:tc>
          <w:tcPr>
            <w:tcW w:w="2887" w:type="dxa"/>
            <w:tcBorders>
              <w:left w:val="single" w:sz="2" w:space="0" w:color="000000"/>
              <w:bottom w:val="single" w:sz="2" w:space="0" w:color="000000"/>
            </w:tcBorders>
          </w:tcPr>
          <w:p>
            <w:pPr>
              <w:pStyle w:val="TableContents"/>
              <w:widowControl w:val="false"/>
              <w:bidi w:val="0"/>
              <w:jc w:val="left"/>
              <w:rPr/>
            </w:pPr>
            <w:r>
              <w:rPr/>
              <w:t>4. Raising Awareness of Domestic Abuse</w:t>
            </w:r>
          </w:p>
        </w:tc>
        <w:tc>
          <w:tcPr>
            <w:tcW w:w="4333" w:type="dxa"/>
            <w:tcBorders>
              <w:left w:val="single" w:sz="2" w:space="0" w:color="000000"/>
              <w:bottom w:val="single" w:sz="2" w:space="0" w:color="000000"/>
            </w:tcBorders>
          </w:tcPr>
          <w:p>
            <w:pPr>
              <w:pStyle w:val="TableContents"/>
              <w:widowControl w:val="false"/>
              <w:bidi w:val="0"/>
              <w:jc w:val="left"/>
              <w:rPr/>
            </w:pPr>
            <w:r>
              <w:rPr/>
              <w:t>Clergy, Readers, Discipleship Enablers, Parish Safeguarding Officers</w:t>
            </w:r>
          </w:p>
        </w:tc>
        <w:tc>
          <w:tcPr>
            <w:tcW w:w="2413" w:type="dxa"/>
            <w:tcBorders>
              <w:left w:val="single" w:sz="2" w:space="0" w:color="000000"/>
              <w:bottom w:val="single" w:sz="2" w:space="0" w:color="000000"/>
              <w:right w:val="single" w:sz="2" w:space="0" w:color="000000"/>
            </w:tcBorders>
          </w:tcPr>
          <w:p>
            <w:pPr>
              <w:pStyle w:val="TableContents"/>
              <w:widowControl w:val="false"/>
              <w:bidi w:val="0"/>
              <w:jc w:val="left"/>
              <w:rPr/>
            </w:pPr>
            <w:r>
              <w:rPr/>
              <w:t>Online</w:t>
            </w:r>
          </w:p>
        </w:tc>
      </w:tr>
      <w:tr>
        <w:trPr/>
        <w:tc>
          <w:tcPr>
            <w:tcW w:w="2887" w:type="dxa"/>
            <w:tcBorders>
              <w:left w:val="single" w:sz="2" w:space="0" w:color="000000"/>
              <w:bottom w:val="single" w:sz="2" w:space="0" w:color="000000"/>
            </w:tcBorders>
          </w:tcPr>
          <w:p>
            <w:pPr>
              <w:pStyle w:val="TableContents"/>
              <w:widowControl w:val="false"/>
              <w:bidi w:val="0"/>
              <w:jc w:val="left"/>
              <w:rPr/>
            </w:pPr>
            <w:r>
              <w:rPr/>
              <w:t>5. Safer Recruitment and People Management</w:t>
            </w:r>
          </w:p>
        </w:tc>
        <w:tc>
          <w:tcPr>
            <w:tcW w:w="4333" w:type="dxa"/>
            <w:tcBorders>
              <w:left w:val="single" w:sz="2" w:space="0" w:color="000000"/>
              <w:bottom w:val="single" w:sz="2" w:space="0" w:color="000000"/>
            </w:tcBorders>
          </w:tcPr>
          <w:p>
            <w:pPr>
              <w:pStyle w:val="TableContents"/>
              <w:widowControl w:val="false"/>
              <w:bidi w:val="0"/>
              <w:jc w:val="left"/>
              <w:rPr/>
            </w:pPr>
            <w:r>
              <w:rPr/>
              <w:t>Clergy, Parish Safeguarding Officers</w:t>
            </w:r>
          </w:p>
        </w:tc>
        <w:tc>
          <w:tcPr>
            <w:tcW w:w="2413" w:type="dxa"/>
            <w:tcBorders>
              <w:left w:val="single" w:sz="2" w:space="0" w:color="000000"/>
              <w:bottom w:val="single" w:sz="2" w:space="0" w:color="000000"/>
              <w:right w:val="single" w:sz="2" w:space="0" w:color="000000"/>
            </w:tcBorders>
          </w:tcPr>
          <w:p>
            <w:pPr>
              <w:pStyle w:val="TableContents"/>
              <w:widowControl w:val="false"/>
              <w:bidi w:val="0"/>
              <w:jc w:val="left"/>
              <w:rPr/>
            </w:pPr>
            <w:r>
              <w:rPr/>
              <w:t>Online</w:t>
            </w:r>
          </w:p>
        </w:tc>
      </w:tr>
      <w:tr>
        <w:trPr/>
        <w:tc>
          <w:tcPr>
            <w:tcW w:w="2887" w:type="dxa"/>
            <w:tcBorders>
              <w:left w:val="single" w:sz="2" w:space="0" w:color="000000"/>
              <w:bottom w:val="single" w:sz="2" w:space="0" w:color="000000"/>
            </w:tcBorders>
          </w:tcPr>
          <w:p>
            <w:pPr>
              <w:pStyle w:val="TableContents"/>
              <w:widowControl w:val="false"/>
              <w:bidi w:val="0"/>
              <w:jc w:val="left"/>
              <w:rPr/>
            </w:pPr>
            <w:r>
              <w:rPr/>
              <w:t>6. Parish Safeguarding Officer Induction</w:t>
            </w:r>
          </w:p>
        </w:tc>
        <w:tc>
          <w:tcPr>
            <w:tcW w:w="4333" w:type="dxa"/>
            <w:tcBorders>
              <w:left w:val="single" w:sz="2" w:space="0" w:color="000000"/>
              <w:bottom w:val="single" w:sz="2" w:space="0" w:color="000000"/>
            </w:tcBorders>
          </w:tcPr>
          <w:p>
            <w:pPr>
              <w:pStyle w:val="TableContents"/>
              <w:widowControl w:val="false"/>
              <w:bidi w:val="0"/>
              <w:jc w:val="left"/>
              <w:rPr/>
            </w:pPr>
            <w:r>
              <w:rPr/>
              <w:t>Parish Safeguarding Officers</w:t>
            </w:r>
          </w:p>
        </w:tc>
        <w:tc>
          <w:tcPr>
            <w:tcW w:w="2413" w:type="dxa"/>
            <w:tcBorders>
              <w:left w:val="single" w:sz="2" w:space="0" w:color="000000"/>
              <w:bottom w:val="single" w:sz="2" w:space="0" w:color="000000"/>
              <w:right w:val="single" w:sz="2" w:space="0" w:color="000000"/>
            </w:tcBorders>
          </w:tcPr>
          <w:p>
            <w:pPr>
              <w:pStyle w:val="TableContents"/>
              <w:widowControl w:val="false"/>
              <w:bidi w:val="0"/>
              <w:jc w:val="left"/>
              <w:rPr/>
            </w:pPr>
            <w:r>
              <w:rPr/>
              <w:t>Virtual training – book online</w:t>
            </w:r>
          </w:p>
        </w:tc>
      </w:tr>
    </w:tbl>
    <w:p>
      <w:pPr>
        <w:pStyle w:val="BodyText"/>
        <w:bidi w:val="0"/>
        <w:jc w:val="left"/>
        <w:rPr/>
      </w:pPr>
      <w:r>
        <w:rPr/>
      </w:r>
    </w:p>
    <w:p>
      <w:pPr>
        <w:pStyle w:val="BodyText"/>
        <w:bidi w:val="0"/>
        <w:jc w:val="left"/>
        <w:rPr/>
      </w:pPr>
      <w:r>
        <w:rPr/>
        <w:t>Refresher training is required every three years. You don’t need to work through the whole lot all over again, just the highest number that you previously did.</w:t>
      </w:r>
    </w:p>
    <w:p>
      <w:pPr>
        <w:pStyle w:val="BodyText"/>
        <w:bidi w:val="0"/>
        <w:jc w:val="left"/>
        <w:rPr/>
      </w:pPr>
      <w:r>
        <w:rPr/>
        <w:t>Eg a PCC member would complete Basic and Foundations, and then after 3 years would need to repeat Foundations.</w:t>
      </w:r>
    </w:p>
    <w:p>
      <w:pPr>
        <w:pStyle w:val="BodyText"/>
        <w:bidi w:val="0"/>
        <w:jc w:val="left"/>
        <w:rPr/>
      </w:pPr>
      <w:r>
        <w:rPr/>
        <w:t>Nick will do 1 through 5, and after three years repeat 3 (Leadership)</w:t>
      </w:r>
    </w:p>
    <w:p>
      <w:pPr>
        <w:pStyle w:val="BodyText"/>
        <w:bidi w:val="0"/>
        <w:jc w:val="left"/>
        <w:rPr/>
      </w:pPr>
      <w:r>
        <w:rPr/>
      </w:r>
    </w:p>
    <w:p>
      <w:pPr>
        <w:pStyle w:val="BodyText"/>
        <w:numPr>
          <w:ilvl w:val="0"/>
          <w:numId w:val="0"/>
        </w:numPr>
        <w:bidi w:val="0"/>
        <w:spacing w:before="0" w:after="140"/>
        <w:ind w:hanging="0" w:left="0"/>
        <w:jc w:val="left"/>
        <w:outlineLvl w:val="1"/>
        <w:rPr/>
      </w:pPr>
      <w:r>
        <w:rPr/>
        <w:t xml:space="preserve">EVERYONE should consider doing the Basic Awareness training. </w:t>
      </w:r>
      <w:r>
        <w:br w:type="page"/>
      </w:r>
    </w:p>
    <w:p>
      <w:pPr>
        <w:pStyle w:val="Heading2"/>
        <w:numPr>
          <w:ilvl w:val="1"/>
          <w:numId w:val="1"/>
        </w:numPr>
        <w:bidi w:val="0"/>
        <w:spacing w:before="0" w:after="119"/>
        <w:jc w:val="left"/>
        <w:rPr/>
      </w:pPr>
      <w:r>
        <w:rPr/>
        <w:t>Appendix C</w:t>
      </w:r>
    </w:p>
    <w:p>
      <w:pPr>
        <w:pStyle w:val="Heading2"/>
        <w:numPr>
          <w:ilvl w:val="1"/>
          <w:numId w:val="1"/>
        </w:numPr>
        <w:bidi w:val="0"/>
        <w:spacing w:before="0" w:after="119"/>
        <w:jc w:val="left"/>
        <w:rPr/>
      </w:pPr>
      <w:r>
        <w:rPr/>
        <w:t>Responding to a Disclosure</w:t>
      </w:r>
    </w:p>
    <w:p>
      <w:pPr>
        <w:pStyle w:val="Heading4"/>
        <w:numPr>
          <w:ilvl w:val="3"/>
          <w:numId w:val="1"/>
        </w:numPr>
        <w:bidi w:val="0"/>
        <w:jc w:val="left"/>
        <w:rPr/>
      </w:pPr>
      <w:r>
        <w:rPr/>
        <w:t>Quick Guide</w:t>
      </w:r>
    </w:p>
    <w:p>
      <w:pPr>
        <w:pStyle w:val="BodyText"/>
        <w:bidi w:val="0"/>
        <w:jc w:val="left"/>
        <w:rPr/>
      </w:pPr>
      <w:r>
        <w:rPr/>
        <w:drawing>
          <wp:anchor behindDoc="0" distT="0" distB="0" distL="0" distR="0" simplePos="0" locked="0" layoutInCell="0" allowOverlap="1" relativeHeight="2">
            <wp:simplePos x="0" y="0"/>
            <wp:positionH relativeFrom="column">
              <wp:posOffset>-466090</wp:posOffset>
            </wp:positionH>
            <wp:positionV relativeFrom="paragraph">
              <wp:posOffset>720090</wp:posOffset>
            </wp:positionV>
            <wp:extent cx="3797300" cy="387350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tretch>
                      <a:fillRect/>
                    </a:stretch>
                  </pic:blipFill>
                  <pic:spPr bwMode="auto">
                    <a:xfrm>
                      <a:off x="0" y="0"/>
                      <a:ext cx="3797300" cy="3873500"/>
                    </a:xfrm>
                    <a:prstGeom prst="rect">
                      <a:avLst/>
                    </a:prstGeom>
                    <a:noFill/>
                  </pic:spPr>
                </pic:pic>
              </a:graphicData>
            </a:graphic>
          </wp:anchor>
        </w:drawing>
      </w:r>
    </w:p>
    <w:p>
      <w:pPr>
        <w:pStyle w:val="ListContents"/>
        <w:bidi w:val="0"/>
        <w:ind w:hanging="0" w:left="567"/>
        <w:jc w:val="left"/>
        <w:rPr/>
      </w:pPr>
      <w:r>
        <w:rPr/>
        <w:drawing>
          <wp:anchor behindDoc="0" distT="0" distB="0" distL="0" distR="0" simplePos="0" locked="0" layoutInCell="0" allowOverlap="1" relativeHeight="3">
            <wp:simplePos x="0" y="0"/>
            <wp:positionH relativeFrom="column">
              <wp:posOffset>3155950</wp:posOffset>
            </wp:positionH>
            <wp:positionV relativeFrom="paragraph">
              <wp:posOffset>258445</wp:posOffset>
            </wp:positionV>
            <wp:extent cx="3181350" cy="4559300"/>
            <wp:effectExtent l="0" t="0" r="0" b="0"/>
            <wp:wrapSquare wrapText="largest"/>
            <wp:docPr id="2"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pic:cNvPicPr>
                      <a:picLocks noChangeAspect="1" noChangeArrowheads="1"/>
                    </pic:cNvPicPr>
                  </pic:nvPicPr>
                  <pic:blipFill>
                    <a:blip r:embed="rId3"/>
                    <a:stretch>
                      <a:fillRect/>
                    </a:stretch>
                  </pic:blipFill>
                  <pic:spPr bwMode="auto">
                    <a:xfrm>
                      <a:off x="0" y="0"/>
                      <a:ext cx="3181350" cy="4559300"/>
                    </a:xfrm>
                    <a:prstGeom prst="rect">
                      <a:avLst/>
                    </a:prstGeom>
                    <a:noFill/>
                  </pic:spPr>
                </pic:pic>
              </a:graphicData>
            </a:graphic>
          </wp:anchor>
        </w:drawing>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roman"/>
    <w:pitch w:val="default"/>
  </w:font>
  <w:font w:name="OpenSymbol">
    <w:altName w:val="Arial Unicode MS"/>
    <w:charset w:val="01"/>
    <w:family w:val="roman"/>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Calibri" w:hAnsi="Calibri" w:eastAsia="NSimSun" w:cs="Arial"/>
      <w:color w:val="auto"/>
      <w:kern w:val="2"/>
      <w:sz w:val="24"/>
      <w:szCs w:val="24"/>
      <w:lang w:val="en-GB" w:eastAsia="zh-CN" w:bidi="hi-IN"/>
    </w:rPr>
  </w:style>
  <w:style w:type="paragraph" w:styleId="Heading1">
    <w:name w:val="heading 1"/>
    <w:basedOn w:val="Heading"/>
    <w:next w:val="BodyText"/>
    <w:qFormat/>
    <w:pPr>
      <w:numPr>
        <w:ilvl w:val="0"/>
        <w:numId w:val="1"/>
      </w:numPr>
      <w:spacing w:before="240" w:after="120"/>
      <w:outlineLvl w:val="0"/>
    </w:pPr>
    <w:rPr>
      <w:b/>
      <w:bCs/>
      <w:sz w:val="36"/>
      <w:szCs w:val="36"/>
    </w:rPr>
  </w:style>
  <w:style w:type="paragraph" w:styleId="Heading2">
    <w:name w:val="heading 2"/>
    <w:basedOn w:val="Heading"/>
    <w:next w:val="BodyText"/>
    <w:qFormat/>
    <w:pPr>
      <w:numPr>
        <w:ilvl w:val="1"/>
        <w:numId w:val="1"/>
      </w:numPr>
      <w:spacing w:before="200" w:after="120"/>
      <w:outlineLvl w:val="1"/>
    </w:pPr>
    <w:rPr>
      <w:b/>
      <w:bCs/>
      <w:sz w:val="32"/>
      <w:szCs w:val="32"/>
    </w:rPr>
  </w:style>
  <w:style w:type="paragraph" w:styleId="Heading3">
    <w:name w:val="heading 3"/>
    <w:basedOn w:val="Heading"/>
    <w:next w:val="BodyText"/>
    <w:qFormat/>
    <w:pPr>
      <w:numPr>
        <w:ilvl w:val="2"/>
        <w:numId w:val="1"/>
      </w:numPr>
      <w:spacing w:before="140" w:after="120"/>
      <w:outlineLvl w:val="2"/>
    </w:pPr>
    <w:rPr>
      <w:b/>
      <w:bCs/>
      <w:sz w:val="28"/>
      <w:szCs w:val="28"/>
    </w:rPr>
  </w:style>
  <w:style w:type="paragraph" w:styleId="Heading4">
    <w:name w:val="heading 4"/>
    <w:basedOn w:val="Heading"/>
    <w:next w:val="BodyText"/>
    <w:qFormat/>
    <w:pPr>
      <w:numPr>
        <w:ilvl w:val="3"/>
        <w:numId w:val="1"/>
      </w:numPr>
      <w:spacing w:before="120" w:after="120"/>
      <w:outlineLvl w:val="3"/>
    </w:pPr>
    <w:rPr>
      <w:b/>
      <w:bCs/>
      <w:i/>
      <w:iCs/>
      <w:sz w:val="27"/>
      <w:szCs w:val="27"/>
    </w:rPr>
  </w:style>
  <w:style w:type="character" w:styleId="Hyperlink">
    <w:name w:val="Hyperlink"/>
    <w:rPr>
      <w:color w:val="000080"/>
      <w:u w:val="single"/>
      <w:lang w:val="zxx" w:eastAsia="zxx" w:bidi="zxx"/>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Calibri" w:hAnsi="Calibri" w:eastAsia="Microsoft YaHei" w:cs="Arial"/>
      <w:sz w:val="28"/>
      <w:szCs w:val="28"/>
    </w:rPr>
  </w:style>
  <w:style w:type="paragraph" w:styleId="BodyText">
    <w:name w:val="Body Text"/>
    <w:basedOn w:val="Normal"/>
    <w:pPr>
      <w:spacing w:lineRule="auto" w:line="240" w:before="0" w:after="113"/>
    </w:pPr>
    <w:rPr/>
  </w:style>
  <w:style w:type="paragraph" w:styleId="List">
    <w:name w:val="List"/>
    <w:basedOn w:val="BodyText"/>
    <w:pPr/>
    <w:rPr>
      <w:rFonts w:ascii="Calibri" w:hAnsi="Calibri" w:cs="Arial"/>
    </w:rPr>
  </w:style>
  <w:style w:type="paragraph" w:styleId="Caption">
    <w:name w:val="caption"/>
    <w:basedOn w:val="Normal"/>
    <w:qFormat/>
    <w:pPr>
      <w:suppressLineNumbers/>
      <w:spacing w:before="120" w:after="120"/>
    </w:pPr>
    <w:rPr>
      <w:rFonts w:ascii="Calibri" w:hAnsi="Calibri" w:cs="Arial"/>
      <w:i/>
      <w:iCs/>
      <w:sz w:val="24"/>
      <w:szCs w:val="24"/>
    </w:rPr>
  </w:style>
  <w:style w:type="paragraph" w:styleId="Index">
    <w:name w:val="Index"/>
    <w:basedOn w:val="Normal"/>
    <w:qFormat/>
    <w:pPr>
      <w:suppressLineNumbers/>
    </w:pPr>
    <w:rPr>
      <w:rFonts w:ascii="Calibri" w:hAnsi="Calibri" w:cs="Arial"/>
      <w:lang w:val="zxx" w:eastAsia="zxx" w:bidi="zxx"/>
    </w:rPr>
  </w:style>
  <w:style w:type="paragraph" w:styleId="ListContents">
    <w:name w:val="List Contents"/>
    <w:basedOn w:val="Normal"/>
    <w:qFormat/>
    <w:pPr>
      <w:ind w:hanging="0" w:left="567"/>
    </w:pPr>
    <w:rPr/>
  </w:style>
  <w:style w:type="paragraph" w:styleId="TableContents">
    <w:name w:val="Table Contents"/>
    <w:basedOn w:val="Normal"/>
    <w:qFormat/>
    <w:pPr>
      <w:widowControl w:val="false"/>
      <w:suppressLineNumbers/>
    </w:pPr>
    <w:rPr/>
  </w:style>
  <w:style w:type="paragraph" w:styleId="Default">
    <w:name w:val="Default"/>
    <w:qFormat/>
    <w:pPr>
      <w:widowControl/>
      <w:suppressAutoHyphens w:val="true"/>
      <w:bidi w:val="0"/>
      <w:spacing w:lineRule="auto" w:line="240" w:before="0" w:after="0"/>
      <w:jc w:val="left"/>
    </w:pPr>
    <w:rPr>
      <w:rFonts w:ascii="Calibri" w:hAnsi="Calibri" w:eastAsia="NSimSun" w:cs="Calibri"/>
      <w:color w:val="000000"/>
      <w:kern w:val="2"/>
      <w:sz w:val="24"/>
      <w:szCs w:val="24"/>
      <w:lang w:val="en-GB" w:eastAsia="zh-CN" w:bidi="hi-IN"/>
    </w:rPr>
  </w:style>
  <w:style w:type="paragraph" w:styleId="HeaderandFooter">
    <w:name w:val="Header and Footer"/>
    <w:basedOn w:val="Normal"/>
    <w:qFormat/>
    <w:pPr/>
    <w:rPr/>
  </w:style>
  <w:style w:type="paragraph" w:styleId="Header">
    <w:name w:val="header"/>
    <w:basedOn w:val="Normal"/>
    <w:pPr>
      <w:tabs>
        <w:tab w:val="clear" w:pos="709"/>
        <w:tab w:val="center" w:pos="4513" w:leader="none"/>
        <w:tab w:val="right" w:pos="9026" w:leader="none"/>
      </w:tabs>
      <w:spacing w:lineRule="auto" w:line="240" w:before="0" w:after="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104</TotalTime>
  <Application>LibreOffice/25.8.3.2$Windows_X86_64 LibreOffice_project/8ca8d55c161d602844f5428fa4b58097424e324e</Application>
  <AppVersion>15.0000</AppVersion>
  <Pages>5</Pages>
  <Words>1127</Words>
  <Characters>6333</Characters>
  <CharactersWithSpaces>7367</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2022-04-08T09:24:25Z</dcterms:created>
  <dc:creator/>
  <dc:description/>
  <dc:language>en-GB</dc:language>
  <cp:lastModifiedBy/>
  <dcterms:modified xsi:type="dcterms:W3CDTF">2026-02-26T14:46:48Z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